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13.10.2020, оставленным без изменения постановлением Второго арбитражного апелляционного суда от 15.04.2021 и постановлением Арбитражного суда Волго-Вятского округа от 21.07.2021, в удовлетворении заявления отказано. 2 В кассационной жалобе, поданной в Верховный Суд Российской Федерации, отдел,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службой проведена проверка соблюдения отделом целей, порядка и условий предоставления межбюджетных трансфертов, полученных из областного бюджета (выборочно), а также достижения показателей результативности использования указанных средств, соответствующих целевым показателям и индикаторам, предусмотренным государственными программами. По результатам проверки составлен акт от 14.05.2018 и выдано представление от 20.06.2018 № 01-20-22 о принятии отделом мер по устранению причин и условий выявленных нарушений до 31.08.2018. Также отделу выдано предписание о возмещении причиненного Ивановской области ущерба в сумме 694 573 рублей 21 копейки в срок до 01.10.2018. Не согласившись с ненормативными правовыми актами службы, отдел обратился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Бюджетного кодекса Российской Федерации,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Федерации, Закона Ивановской области от 14.03.1997 № 7-ОЗ «О дополнительных гарантиях по социальной поддержке детей-сирот и детей, оставшихся без попечения родителей, в Ивановской области» (далее - Закон № 7-ОЗ), приказом Министерства транспорта Российской Федерации от 16.11.2012 № 402 «Об утверждении классификации работ по капитальному ремонту, ремонту и содержанию автомобильных дорог», Порядком предоставления и распределения субсидий бюджетам муниципальных образований на проектирование строительства (реконструкции), капитального ремонта, 3 строительство (реконструкцию),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фондов, являющимся приложением к подпрограмме «Дорожное хозяйство» государственной программы Ивановской области «Развитие транспортной системы Ивановской области», утвержденной постановлением Правительства Ивановской области от 13.11.2013 № 447-п, Порядком предоставления и распределения субсидий бюджетам муниципальных образований на обеспечение мероприятий по формированию современной городской среды (приложение 1 к подпрограмме «Формирование современной городской среды» государственной программы Ивановской области «Обеспечение доступным и комфортным жильем, объектами инженерной инфраструктуры и услугами жилищно-коммунального хозяйства населения Ивановской области», утвержденной постановлением Правительства Ивановской области от 13.11.2013 № 458-п), пришли к выводу о том, что оспоренные ненормативные правовые акты службы соответствуют положениям действующего законодательства и не нарушают права и законные интересы отдела, с чем согласился суд округа. Судебные инстанции исходили из доказанности службой обстоятельств выявленных нарушений, отметив, что действия отдела по приобретению жилых помещений для детей-сирот, детей, оставшихся без попечения родителей по ценам, превышающим стоимость по нормативу, определенному в Методике распределения субвенций бюджетам муниципальных образований Ивановской области на осуществление полномочий по обеспечению жильем детей-сирот, утвержденной Законом № 7-ОЗ, привели к дополнительному расходованию средств областного бюджета. Суды признали незаконными действия отдела по направлению средств, предоставленных в 2017 году из областного бюджета в виде субсидии на строительство (реконструкцию), капитальный ремонт, ремонт и содержание автомобильных дорог общего пользования местного значения на погашение кредиторской задолженности, образовавшейся в 2016 году перед МУП «Управление благоустройства городского округа Шуя». Кроме того, судебные инстанции указали, что отделом не соблюдены условия предоставления субсидии из дорожного фонда; нарушены условия соглашения от 26.06.2017 № 20-17/167-к, выразившиеся в недостижении значений показателей результативности. Установив указанные обстоятельства, суды признали представление и предписание службы законными и обоснованными. Доводы отдела,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4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Отделу жилищно-коммунального хозяйства, транспорта, связи и благоустройства администрации городского округа Шуя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