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Подоляк Я.В. обратился в арбитражный суд с жалобой на бездействие конкурсного управляющего в лице государственной корпорации «Агентство по страхованию вкладов» и обязании конкурсного управляющего совершить действия по передаче доли денежных средств в депозит нотариуса. Определением арбитражного суда первой инстанции от 03.12.2020, оставленным без изменения постановлениями судов апелляционной инстанции от 24.03.2021 и округа от 23.06.2021, в удовлетворении заявленных требований отказано. В кассационной жалобе, поданной в Верховный Суд Российской Федерации, заявитель просит отменить обжалуемые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2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Разрешая спор,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статей 20.3, 60 Федерального закона от 26.10.2002 № 127-ФЗ «О несостоятельности (банкротстве)» и не усмотрели оснований для признания оспариваемого бездействия конкурсного управляющего незаконным. При таких условиях суды отказали в удовлетворении заявленных требований, с чем впоследствии согласился суд округа. Доводы, изложенные в кассационной жалобе, не подтверждают наличие существенных нарушений норм материального права и процессуального права, не являются достаточными основаниями для пересмотра судебных актов в кассационном порядке.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