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- банк) обратилось в арбитражный суд с заявлением, в котором просило рассмотреть разногласия относительно остатка неоплаченной задолженности (с учетом уточнения заявленных требований в порядке статьи 49 Арбитражного процессуального кодекса Российской Федерации). Определением арбитражного суда первой инстанции от 01.08.2020 заявление удовлетворено, в реестр внесены изменения путем отражения суммы погашения с учетом определений Арбитражного суда Красноярского края от 21.02.2014 и от 29.05.2019 по делу № А33-5157/2010 в размере: таблица № 10 строка № 4 столбец 6 – 106 074 949,91 руб.; таблица № 10 строка № 4 столбец 9 – 198 796 213,89 руб. Определением суда апелляционной инстанции от 03.11.2020 произведена на замена банка на его правопреемника - индивидуального предпринимателя Городова Алексея Павловича в связи с заключением между ними договора цессии от 16.10.2020, по которому цессионарию уступлено право требования к должнику на сумму 412 901 214,84 руб. Постановлением суда апелляционной инстанции от 03.02.2021 в редакции дополнительного постановления от 25.02.2021, оставленным без изменения постановлением суда округа от 21.06.2021, определение 2 от 01.08.2020 отменено, в удовлетворении заявления Городова А.П. о разрешении разногласий отказано. В кассационной жалобе, поданной в Верховный Суд Российской Федерации, заявитель просит отменить обжалуемые судебные акты,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настоящему обособленному спору судебных актов и доводов кассационной жалобы не установлено. Отказывая в удовлетворении заявления и отменяя определение суда первой инстанции, суд апелляционной инстанции руководствовался положениями статей 16, 60, 138, 142, 166, Федерального закона от 26.10.2002 № 127-ФЗ «О несостоятельности (банкротстве)» и исходил из того, что расчеты конкурсного управляющего относительно требований банка, включенных в реестр и обеспеченных залогом имущества должника, отражены арифметически правильно, а предлагаемый кредитором порядок внесения изменений в реестр направлен на преодоление в не установленном процессуальным законом порядке вступившего в законную силу определения от 29.05.2019 об исключении из реестра части требований банка. С указанными выводами впоследствии согласился суд округа. Доводы кассационной жалобы выводы судов апелляционной инстанции и округа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