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Московский фонд защиты прав граждан-участников долевого строительства (далее – фонд) обратился в суд с заявлением о намерении стать приобретателем прав должника на земельные участки с находящимися на них неотделимыми улучшениями и исполнить обязательства застройщика перед участниками строительства, требования которых включены в реестр требований участников строительства. Определением Арбитражного суда города Москвы от 22.12.2020, оставленным без изменения постановлением Девятого арбитражного апелляционного суда от 19.02.2021, заявление удовлетворено. Определением Арбитражного суда Московского округа от 31.05.2021 производство по кассационной жалобе заявителя прекращено применительно к пункту 1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суды первой и апелляционной инстанции руководствовались статьями 201.10 – 201.15-2 Федерального закона от 26.10.2002 № 127-ФЗ «О несостоятельности (банкротстве)», пунктом 14 статьи 16 Федерального закона от 27.06.2019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исходили из соответствия фонда всем необходимым и установленным законом условиям для передачи ему обязательств застройщика банкрота и прав на земельные участки, что вопреки доводам заявителя не привело к нарушению его прав, а также прав иных кредиторов участников долевого строительства. Выводы судов первой и апелляционной инстанции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корпорации «Агентство по страхованию вкладов»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