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недействительной сделки по отчуждению исключительного права на товарный знак по договору от 07.12.2016 между должником и обществом с ограниченной ответственностью «Ради наживы», по договору от 24.05.2019 между обществом «Ради наживы» и Мельниковой Татьяной Геннадьевной; применении последствий недействительности сделок. Определением Арбитражного суда города Москвы от 19.01.2021, оставленным без изменения постановлениями Девятого арбитражного апелляционного суда от 01.04.2021 и Арбитражного суда Московского округа от 18.06.2021,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199 Гражданского кодекса Российской Федерации, статьи 61.2 Федерального закона от 26.10.2002 № 127-ФЗ «О несостоятельности (банкротстве)», исходили из недоказанности причин для удовлетворения требований общества по заявленным основаниям, указав на пропуск срока исковой давности на предъявление требований, что является самостоятельным основанием к отказу в их удовлетворении.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«Автокомбинат – 4»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