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Лазуткин Денис Владимирович обратился в суд с заявлением о признании недействительными сделок по перечислению должником учреждению денежных средств в общем размере 4 230 000 рублей. Определением Арбитражного суда города Москвы от 28.01.2021, оставленным без изменения постановлениями Девятого арбитражного апелляционного суда от 20.04.2021 и Арбитражного суда Московского округа от 26.07.2021, заявление удовлетворено в части признания недействительными сделками перечислений должником учреждению денежных средств в общем размере 3 030 000 рублей, в удовлетворении остальной части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Исходя из доводов кассационной жалобы, заявитель не согласен с выводами судов о наличии оснований для частичного удовлетворения требований конкурсного управляющего.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10, 168, 170, 181 Гражданского кодекса Российской Федерации пунктом 86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исходили из доказанности совокупности условий, необходимых для квалификации оспариваемой части совершенных в период подозрительности платежей в качестве мнимых, совершенных со злоупотреблением правом путём вывода из конкурсной массы в пользу заинтересованного лица денежных средств должника под видом оплаты услуг, реальность оказания которых не подтверждена документально.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Приводимые заявителем в настоящей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частному учреждению «Музей современного, декоративного и промышленного искусства «АрДЕКО»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