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11.11.2020, оставленным без изменения постановлением Восьмого арбитражного апелляционного суда от 15.02.2021 и постановлением Арбитражного суда Западно-Сибирского округа от 08.06.2021,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по эпизодам, связанным с доначислением налога на прибыль и пени по налогу на прибыль и налогу на добавленную стоимость (далее - НДС).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инспекцией проведена выездная налоговая проверка деятельности общества, по результатам составлен акт и вынесено решение о привлечении заявителя к ответственности за совершение налогового правонарушения, которым доначислены 8 009 162 рубля НДС, 8 899 070 рублей налога на прибыль, соответствующие суммы пени и штрафа по пункту 3 статьи 122 Налогового кодекса Российской Федерации (далее - Налоговый кодекс). Основанием для доначисления налогов послужил вывод инспекции об отсутствии реальных хозяйственных операций между обществом и ООО «Рубин» по договорам субподряда на выполнение ремонтных, монтажных и электромонтажных работ в целях выполнения обязательств заявителя перед ООО «Кварц Групп» (генеральный подрядчик) по заключенным договорам подряда. Не согласившись с решением инспекции,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Налогового кодекса, учитывая разъяснения Пленума Высшего Арбитражного Суда Российской Федерации, изложенные в постановлении от 12.10.2006 № 53 «Об оценке арбитражными судами обоснованности получения налогоплательщиком налоговой выгоды», пришел к выводу о создании обществом формального документооборота, направленного на необоснованное уменьшение налогооблагаемой прибыли и применение налоговых вычетов по НДС при отсутствии реальных взаимоотношений между заявленными участниками сделок. Суды апелляционной инстанции и округа поддержали выводы суда первой инстанции. Судебные инстанции исходили из того, что фактически спорные работы по договорам были выполнены не заявленным контрагентом, а привлеченными самим обществом - физическими лицами, оплата которым производилась заявителем наличными денежными средствами. При этом условиями договоров между генеральным заказчиком и обществом установлена обязанность заявителя о письменном уведомлении заказчика о привлечении к работам третьих лиц (субподрядных организаций); доказательств такого уведомления обществом не представлено, из пояснений заказчика следует, что все работы на объектах выполнял заявитель, что подтверждается свидетельскими показаниями.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СК «Сибстрой»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СК "Сибстрой" (подробнее) Ответчики: Инспекция Федеральной налоговой службы №2 по Центральному административному округу г. Омска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