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10.03.2021 соглашение о погашении задолженности от 30.11.2018 обществом и должником признано недействительной сделкой, применены последствия недействительности сделки в виде восстановления задолженности общества перед должником в размере 1 871 088 рублей 18 копеек. Не согласившись с данным определением, общество обратилось в суд с апелляционной жалобой. Определением Десятого арбитражного апелляционного суда от 22.04.2021, оставленным без изменения постановлением Арбитражного суда Московского округа от 21.06.2021,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вопрос на новое рассмотрение в Одиннадцатый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заявителя и подтверждая законность такого возврата, суды апелляционной инстанции и округа руководствовались статьями 113, 117, 184, 259, 264 Арбитражного процессуального кодекса Российской Федерации, пунктом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исходили из того, что приводимые осведомлённым о движении настоящего дела заявителем причины пропуска процессуального срока на подачу апелляционной жалобы в отсутствие иных объективных препятствий и не зависящих от него ограничений возможности совершения соответствующего процессуального действия в разумный срок не могут быть признаны уважительными.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«Новая коммунальная система участок № 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