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20.02.2021, оставленным без изменения постановлением Первого арбитражного апелляционного суда от 06.04.2021 и постановлением Арбитражного суда Волго-Вятского округа от 05.07.2021, заявление публичного акционерного общества «Сбербанк России» (кредитор, далее – банк) о включении в реестр должника требования в размере 6 164 033 рублей 28 копеек удовлетворено. В кассационной жалобе Андреева И.Г. просит об отмене судебных актов, ссылаясь на неполное выяснение обстоятельств и непринятие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оценивая возражения должника и проверив обоснованность требования, установили, что размер задолженности подтвержден решением суда общей юрисдикции, а подлежащие уплате проценты за пользование кредитом не относятся к числу уменьшаемых в силу статьи 333 Гражданского кодекса Российской Федерации платежей, поэтому удовлетворили заявление банка в силу статей 71, 213.8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гражданки Андреевой Ирине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