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взыскании с ФИО2 (далее – ответчик) в пользу должника убытков в размере 4 123 292 рубля. Определением Арбитражного суда Челябинской области от 01.10.2020 заявление удовлетворено. Постановлением Восемнадцатого арбитражного апелляционного суда от 03.03.2021, оставленным без изменения постановлением Арбитражного суда Уральского округа от 15.06.2021, данное определение отменено; в удовлетворении заявления отказано. В кассационной жалобе, поданной в Верховный Суд Российской Федерации, заявитель просит отменить постановления апелляционной инстанции и округа, определение суда первой инстанции оставить в силе.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суды апелляционной инстанции и округа, руководствуясь статьями 10, 64, 126 Федерального закона от 26.10.2002 № 127-ФЗ «О несостоятельности (банкротстве)», не установили совокупности условий для взыскания убытков с ответчика, подтвердившего факты расходования снятых со счётов денежных средств на нужды должника и передачи имевшейся в его распоряжении бухгалтерской документации конкурному управляющему.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и (или)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«Энергострой»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ООО "МИНИМАКС" (подробнее) ООО "Строительная компания Дивизион" (подробнее) ООО "Транссервис" (подробнее) ООО "Управление производственно-технической комплектации" (подробнее) Ответчики: ООО "Энергострой" (подробнее) Иные лица: Конкурсный управляющий Беспалов Егор Михайлович (подробнее) Межрайонная инспекция Федеральной налоговой службы №10 по Челябинской области (подробнее) НП "СРО АУ "Меркурий"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