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23.07.2020, оставленным без изменения постановлениями Девятого арбитражного апелляционного суда от 25.01.2021 и Арбитражного суда Московского округа от 18.05.2021, иск министерства удовлетворен.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министерством и обществом заключен договор о предоставлении субсидии на компенсацию части затрат на производство и реализацию потребителям пилотных партий средств производства, по условиям которого обществу предоставляется субсидия на компенсацию части затрат на производство и реализацию потребителям пилотных партий средств производства в 2016 году в целях стимулирования внедрения в опытно-промышленную эксплуатацию современных высокотехнологичных средств производства. Во исполнение условий договора министерство перечислило получателю субсидию в размере 2 144 472 рублей 17 копеек. По результатам проверки представленных обществом первичного комплекта отчетной документации и комплекта исправленной отчетной документации министерством установлено несоответствие полученных результатов условиям договора, а именно размер фактической себестоимости пилотной партии, определенной в соответствии с учетной политикой общества, не соответствовал заявленному при получении субсидии. По мнению министерства, невыполнение указанного требования является нарушением получателем целей и условий предоставления субсидии, установленных Правилами предоставления субсидий из федерального бюджета российским организациям на компенсацию части затрат на производство и реализацию пилотных партий средств производства потребителям в 2016 году, утвержденными постановлением Правительства Российской Федерации от 08.11.2016 № 1143(далее - Правила № 1143) и договором, в связи с чем спорный договор подлежит расторжению, а перечисленная субсидия возврату. Поскольку общество не произвело своевременный возврат субсидии, министерство начислило проценты за пользование чужими денежными средствами и обратилось в арбитражный суд. Исследовав и оценив представленные в материалы дела доказательства, руководствуясь положениями Гражданского кодекса Российской Федерации, Правилами № 1143, суды пришли к выводу о наличии оснований для удовлетворения исковых требований. Судебные инстанции исходили из несоответствия размера себестоимости пилотной партии, заявленной при получении субсидии, подтвержденному размеру себестоимости. При исследовании обстоятельств дела установлено, что цена пилотной партии (без налога на добавленную стоимость) превышает себестоимость соответствующих средств производства, уменьшенную на размер запрашиваемой субсидии, как с учетом включения в размер себестоимости пилотной партии коммерческих и общехозяйственных расходов в соответствии с учетной политикой общества, так и без их учета. Учитывая изложенное, доводы общества о правомерности включения в размер себестоимости пилотной партии коммерческих и общехозяйственных расходов не имеют правого значения для правильного разрешения настоящего спора и, как следствие, не могут повлиять на законность обжалуемых судебных актов, в связи с чем подлежат отклонению. Доводы, изложенные в кассационной жалобе, повторяют позицию общества по спору, являлись предметом рассмотрения судов и не опровергают их выводы, сделанные на основании правильного применения норм права к установленным обстоятельствам дела,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«Дробмаш»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Министерство промышленности и торговли Российской Федерации (подробнее) Ответчики: ЗАО "Дробмаш"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