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23.11.2020 урегулированы разногласия между финансовым управляющим, должником и публичным акционерным обществом «Сбербанк России» (кредитор, далее – банк). Постановлением Двенадцатого арбитражного апелляционного суда от 09.02.2021, оставленным без изменения постановлением Арбитражного суда Поволжского округа от 22.04.2021, определение от 23.11.2020 изменено: определено, что расходы ПАО «Сбербанк России» на оплату услуг ООО «ЧОО «Корвет-95» по охране имущества должника подлежат возмещению в пределах десяти процентов суммы, вырученной от реализации предмета залога, и преимущественно перед выплатой вознаграждения арбитражного управляющего в виде процентов. В кассационной жалобе Нерсисян А.Г. просит о пересмотре судебных актов апелляционного и окружного судов, ссылаясь на противоречие их выводов законодательству о банкротстве.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договоры об охране залогового имущества заключены с участием должника, принявшего на себя обязательство по возмещению понесенных банком расходов на охрану имущества в рамках рассматриваемого дела. Указанное обстоятельство признано судами обусловливающим отнесение расходов на должника в силу судебного толкования пункта 5 статьи 213.27 Федерального закона от 26.10.2002 № 127-ФЗ «О несостоятельности (банкротстве)». Спорные расходы понесены не в связи с инициативой финансового управляющего по привлечению для обеспечения его деятельности сторонних лиц, требующему вынесения судом соответствующего определения, поэтому довод управляющего о невозможности в отсутствие определения о привлечении охранной организации возмещения расходов на ее услуги за счет конкурсной массы обоснованно отклонен. Доводы управляющего противоречат обстоятельствам дела и не создают оснований к кассационному пересмотру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Нерсисяну Арсену Гариковичу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