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10.02.2021, оставленным без изменения постановлением Седьмого арбитражного апелляционного суда от 29.04.2021 и постановлением Арбитражного суда Западно-Сибирского от 15.07.2021, заявление истца о взыскании с ответчика судебных расходов удовлетворено. В кассационной жалобе общество «Алтайский бекон» просит о пересмотре судебных актов, ссылаясь на отступление от принципа пропорциональности распределения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требования удовлетворены в поддерживаемой сумме и истец является выигравшей дело стороной, поэтому взыскали судебные расходы в понесенном размере в соответствии со статьями 110 Арбитражного процессуального кодекса Российской Федерации и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«Алтайский бекон»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