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11.01.2021, оставленным без изменения постановлениями Десятого арбитражного апелляционного суда от 05.04.2021 и Арбитражного суда Московского округа от 05.07.2021, исковое требование удовлетворено частично, с ПАО НПП «Аэросила» в пользу ПАО «ТАНТК им. Г.М. Бериева» взыскана неустойка в размере 24 809 805 рублей 60 копеек. В удовлетворении остальной части иска отказано. 2 В кассационной жалобе, поданной в Верховный Суд Российской Федерации, ПАО «ТАНТК им. Г.М. Бериева»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ПАО «ТАНТК им. Г.М. Бериева» (заказчик) и ПАО НПП «Аэросила» (исполнитель) заключен договор на выполнение опытно-конструкторских работ (далее - ОКР). В обоснование иска ПАО «ТАНТК им. Г.М. Бериева» ссылался на то, что работы выполнены исполнителем с просрочкой по ряду этапов уточненной ведомости исполнения ОКР. Оценив представленные в материалы дела доказательства, суды, руководствуясь положениями статей 195, 199, 200, 309, 310, 330, 452, 702, 708, 768, 769, 778 Гражданского кодекса Российской Федерации, пришли к выводу о наличии оснований для частичного удовлетворения иска. Судебные инстанции исходили из нарушения исполнителем сроков выполнения работ, при этом произвели перерасчет начисленной неустойки в связи с корректировкой сторонами сроков выполнения работ по отдельным этапам ОКР, пропуском срока исковой давности. Довод заявителя кассационной жалобы о том, что согласованный сторонами план-график завершения разработки не изменяет сроки окончания работ по договору, являлся предметом рассмотрения судов, получил надлежащую правовую оценку с учетом установленных обстоятельств дела и мотивированно отклонен. Ссылка ПАО «ТАНТК им. Г.М. Бериева» на иную судебную практику является несостоятельной, поскольку основана на иных фактических обстоятельствах дела, отличных от настоящего спора.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3 исход дела, по сути, сводятся к несогласию заявителя с установленными судами фактическими обстоятельствами дела и направлены на их переоценку.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«Таганрогский авиационный научно-технический комплекс им. Г.М. Бериева»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