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18.12.2020, оставленным без изменения постановлением Девятого арбитражного апелляционного суда от 07.04.2021, неустойка уменьшена и взыскана в сумме 700 000 рублей. Арбитражный суд Московского округа постановлением от 21.06.2021 решение от 18.12.2020 и постановление Девятого арбитражного апелляционного суда от 07.04.2021 оставил без изменения. В кассационной жалобе общество «ЛОКОМОТИВ-ТРАНЗИТ» просит об отмене судебных актов, ссылаясь на ненадлежащие доказательства простоя, неправильное определение времени простоя, игнорирование причастности истца к простою.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правоотношения сторон основаны на договоре возмездного оказания услуг от 25.12.2018 № ВОУ-2512/1218, в котором согласованы срок оборота железнодорожных вагонов, порядок его определения и ответственность за его нарушение в виде неустойки. Суды признали допущение обществом простоя вагонов в качестве условия для взыскания неустойки, рассчитанной на основании пунктов 2.4.11. и 4.11. договора и уменьшенной судом в соответствии со статьей 333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«ЛОКОМОТИВ-ТРАНЗИТ»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