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24.10.2020 в удовлетворении заявления о назначении экспертизы отказано, требование Исаева М.В. в размере 1 600 304 рублей 96 копеек признано обоснованным, включено в третью очередь реестра, признано подлежащим удовлетворению за счет средств, вырученных от продажи предмета залога. Постановлением Тринадцатого арбитражного апелляционного суда от 19.01.2021, оставленным без изменения постановлением Арбитражного суда Северо-Западного округа от 15.06.2021, определение от 24.10.2020 отменено в части: требование о включении в реестр 3 000 000 рублей неустойки признано обоснованным и включено в третью очередь. В кассационной жалобе Грибкова Л.А. просит о пересмотре судебных актов, ссылаясь на отсутствие долга.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у должника спорного долга установлено судебным актом третейского суда, подлежащего исполнению на основании выданных судом общей юрисдикции исполнительных листов. В указанной ситуации довод заявителя об отсутствии долга неоснователен, а требования кредитора признаны обоснованными и включены в реестр в соответствии со статьями 16, 71, 213.8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Грибковой Любови Александровне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