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15.09.2020 в удовлетворении заявления финансового управляющего отказано; по заявлению гражданина Ференца Н.Н. исключены из конкурсной массы должника жилое помещение (квартира) и из реестра – требование Ференца Н.Н. на сумму в 7 020 250 рублей 58 копеек. Семнадцатый арбитражный апелляционный суд постановлением от 26.11.2020 определение от 15.09.2020 оставил без изменения. Арбитражный суд Уральского округа постановлением от 06.07.2021 отменил определение от 15.09.2020 и постановление апелляционного суда от 26.11.2020, направив обособленный спор на новое рассмотрение в Арбитражный суд Свердловской области. В кассационной жалобе Ференц Н.Н. просит об отмене постановления суда округа, оставившего без внимания обстоятельства, на которых основано требование об исключении спорного имущества из конкурсной массы.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установил, что суды первой и апелляционной инстанций неправильно определили соотношение норм Гражданского кодекса Российской Федерации и Федерального закона «О несостоятельности (банкротстве)» применительно к спорным правоотношениям, поэтому в силу статей 286, 287 Арбитражного процессуального кодекса Российской Федерации признали необходимость нового рассмотрения обособленного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Ференцу Н.Н.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