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20.11.2020, оставленным без изменения постановлением Восемнадцатого арбитражного апелляционного суда от 11.03.2021 и постановлением Арбитражного суда Уральского округа от 16.06.2021, в удовлетворении заявления отказано. В кассационной жалобе Сунцов В.А. просит об отмене судебных актов, ссылаясь на игнорирование незаконных действий банка по продаже залогового имущества без учета прав на него должника.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банка на заложенное имущество возникло на основании решения суда об обращении на него взыскания в счет исполнения обеспеченного залогом обязательства, следовательно, распоряжение предметом залога правомерно признано законным.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Сунцову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