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30.07.2020, оставленным без изменения постановлением Девятнадцатого арбитражного апелляционного суда от 14.12.2020 и постановлением Арбитражного суда Центрального округа от 09.06.2021, исковые требования удовлетворены.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 выступило государственным заказчиком открытого конкурса в электронной форме на заключение договора на оказание услуг по комплексному эксплуатационно-техническому обслуживанию инженерных систем и оборудования административного здания для размещения налоговых инспекций, 26.11.2019 на официальном сайте размещено извещение о проведении электронного конкурса № 0354100000219000076 и конкурсная документация. На основании протокола заседания единой комиссии по рассмотрению и оценке первых частей заявок на участие в открытом конкурсе в электронной форме № 01/02К/2019 от 19.12.2019 допущены и признаны участниками ФИО2 и ФИО1 В соответствии с протоколом заседания единой комиссии по рассмотрению и оценке вторых частей заявок № 02/02К/2019 от 24.12.2019 количество баллов по показателю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заявке ФИО2 присвоено 40 баллов, заявке ФИО1 - 0 баллов. Победителем конкурса признан ФИО2 Не согласившись с порядком присвоения баллов при рассмотрении вторых частей заявок, ФИО1 обратился в арбитражный суд. Рассматривая спор, суды первой и апелляционной инстанций, оценив представленные доказательства, руководствуясь положениями Федерального закона № 44-ФЗ от 05.04.2013 «О контрактной системе в сфере закупок товаров, работ, услуг для обеспечения государственных и муниципальных нужд» (далее - Закон о контрактной системе),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Российской Федерации от 28.11.2013 № 1085, Правилами по охране труда при эксплуатации электроустановок, утвержденными Приказом Минтруда России от 24.07.2013 № 328н (далее - Правила по охране труда при эксплуатации электроустановок), пришли к выводу о наличии оснований для удовлетворения исковых требований. Судебные инстанции исходили из наличия в действиях комиссии заказчика нарушений, выразившихся в ненадлежащей проверке документов, представленных во второй части заявки ФИО2, что повлекло признание указанного участника победителем конкурса. Оставляя без изменения судебные акты, суд округа указал, что данный вывод судов сделан в нарушение положений статей 31, 54.7 Закона о контрактной системе. Формулируя указанный вывод, суд округа исходил из того, что представленные участниками документы не могли быть приняты в качестве подтверждения квалификации. Судом отмечено, что включая в закупочную документацию требование о предоставлении документа, подтверждающего наличие в штате ответственного за электрохозяйство с группой по электробезопасности не ниже IV, не предусмотренного Правилами по охране труда при эксплуатации электроустановок, заказчик отдал предпочтение ФИО2, представившему копии следующих документов: приказа ответственного за электрохозяйство, журнала учета проверки знаний и правил работы, удостоверения о допуске с V группой по электробезопасности. При этом представленные договоры второго участника не были приняты конкурсной комиссией при подсчете баллов исключительно по причине непредставления протокола аттестации по электробезопасности. Установив указанные обстоятельства, суд округа заключил, что по нестоимостному критерию оценки заявок, ФИО2 неправомерно был присвоен максимальный рейтинг, между тем, указанные выводы судов не привели к принятию неверных судебных актов в обжалуемой части, поскольку заявка истца по стоимостному критерию являлась наилучшим предложением. Доводы, изложенные в кассационной жалобе, являлись предметом рассмотрения судов и им дана надлежащая правовая оценка. Приведенные доводы не свидетельствуют о существенных нарушениях норм материального и процессуального права, которые повлияли на исход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налоговой службы по Орловской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Кочко Иван Иванович (подробнее) Ответчики: ИП Михайловский Дмитрий Витальевич (подробнее) УФНС РОССИИ ПО ОРЛОВСКОЙ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