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06.11.2020, оставленным без изменения постановлениями Пятнадцатого арбитражного апелляционного суда от 04.03.2021 и Арбитражного суда Северо-Кавказского округа от 17.06.2021, в удовлетворении заявленного требования отказано. В кассационной жалобе управление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заказчика при проведении электронного аукциона на выполнение работ по капитальному строительству детского ясли-сада на 80 мест, выразившиеся в признании второй части заявки ООО «Стройгарант» соответствующей положениям документации, антимонопольным органом принято решение. Решением антимонопольного органа жалоба общества признана обоснованной, в действиях комиссии заказчика установлено нарушение части 6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Не соглашаясь с ненормативным правовым актом, управление обратилось в арбитражный суд. Исследовав и оценив представленные в материалы дела доказательства, руководствуясь положениями статей 31, 64, 66, 69 Закона о контрактной системе,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(далее - Постановление № 99), суды пришли к выводу об отсутствии оснований для удовлетворения заявленного требования. Суд первой инстанции установив, что ООО «Стройгарант» является застройщиком, признал, что представленные им документы в совокупности подтверждают имеющийся у него опыт исполнения контракта, связанного с выполнением работ, сопоставимых с работами, выполнение которых является объектом спорной закупки, указав, что антимонопольный орган применил формальный подход при разрешении вопроса закупочного процесса и необоснованно признал заявку ООО «СтройГарант» не соответствующей требованиям Постановления № 99. При этом отказывая в удовлетворении заявления, суд исходил из того, что оспариваемое решение антимонопольного органа не нарушает права и законные интересы заявителя в предпринимательской и иной экономической деятельности, не создает какие-либо препятствия для осуществления такой деятельности, поскольку было исполнено (отменены протоколы подведения итогов электронного аукциона, пересмотрены вторые части заявок с учетом требований законодательства о контрактной системе в сфере закупок и настоящего решения, продолжена процедура определения поставщика) и, фактически исполнив решение антимонопольного органа, был завершен аукцион и подписан контракт с обществом, который исполняется сторонами. Оставляя в силе решение суда, суд апелляционной инстанции поддержал вывод суда об отсутствии нарушенных прав и законных интересов заявителя в предпринимательской и иной экономической деятельности, при этом исходил из того, что заявка ООО «Стройгарант» не отвечала требованиям аукционной документации, поскольку из представленных документов невозможно объективно подтвердить стоимость выполненных работ, отметив, что установление стоимости работ возможно путем сопоставления положений государственного контракта и содержания актов выполненных работ, которые отсутствовали. Суд округа поддержал данные выводы суда апелляционной инстанции. Доводы управления являлись предметом рассмотрения судов, получили надлежащую правовую оценку с учетом установленных обстоятельств дела и мотивированно отклонены,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образования Сальского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Управление образования Сальского района (подробнее) Ответчики: Управление Федеральной антимонопольной службы по Ростовской области (подробнее) УФАС РФ по РО (подробнее) Иные лица: Министерство строительства, архитектуры и территориального развития РО (подробнее) Министерство строительства, архитектуры и территориального развития Ростовской области (подробнее) Министерство строительства и архитектуры территориального развития РО (подробнее) ООО "Стройгарант" (подробнее) ООО "УК "Арти-Строй" (подробнее) Управляющая компания "Арти-Строй"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