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18.12.2020, оставленным без изменения постановлением Девятого арбитражного апелляционного суда от 11.05.2021, иск удовлетворен. Арбитражный суд Московского округа постановлением от 28.07.2021 решение от 18.12.2020 и постановление Девятого арбитражного апелляционного суда от 11.05.2021 оставил без изменения. В кассационной жалобе общество «РК Сервис» просит об отмене судебных актов, ссылаясь на неправильное толкование договора и нарушение преюдиции.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спорные правоотношения являются возмездным оказанием услуг. В силу статей 779, 781 Гражданского кодекса Российской Федерации услуга подлежит оплате по факту оказания. Истец оказал ответчику услугу по организации перевозки, которой воспользовались клиенты ответчика, поэтому суды правомерно обязали ее оплатить. Противоречия судебных актов по данному и ранее рассмотренному делу не подтверждается.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«РК 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