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20.06.2020, оставленным без изменения постановлением Тринадцатого арбитражного апелляционного суда от 12.02.2021 и 2 постановлением Арбитражного суда Северо-Западного округа от 09.06.2021,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акты,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камеральной налоговой проверки представленной предпринимателем 25.05.2018 налоговой декларации по единому налогу, уплачиваемому в связи с применением упрощенной системы налогообложения (далее - УСН) за 2017 год инспекцией составлен акт от 10.09.2018 № 33427 и с учетом результатов дополнительных мероприятий налогового контроля вынесено решение о привлечении к ответственности за совершение налогового правонарушения, которым доначислено 2 097 616 рублей единого налога, уплачиваемого в связи с применением УСН, 582 107 рублей 15 копеек штрафа. Основанием для доначисления налога послужил вывод налогового органа о занижении предпринимателем дохода, полученного в 2017 году. Не согласившись с решением налогового органа, предприниматель обратился в арбитражный суд. Отказывая в удовлетворении заявления, суд первой инстанции, руководствуясь положениями статей 101, 249, 346.11, 346.14, 346.43, 346.45 Налогового кодекса Российской Федерации, пришел к выводу о том, что решение инспекции соответствует требованиям законодательства и не нарушает права и интересы общества. Как установлено судами, в ходе налоговой проверки инспекцией проанализированы выписки банков за период с 01.01.2017 по 31.12.2017 и установлено занижение предпринимателем полученного дохода по взаимоотношениям с контрагентами ООО «СК Нева-Строй», ООО «Агентство 3 Недвижимости Петербург», ООО «ТехноТрейд», ООО СК «Монолит». Иных доказательств предпринимателем не представлено, требования о предоставлении документов, подтверждающих правомерность неотнесения к доходам спорных денежных средств, не исполнены. Существенных нарушений процедуры проведения налоговой проверки судами не установлено. Доводы, изложенные в кассационной жалобе, являлись предметом рассмотрения судов и им дана надлежащая правовая оценка. Приведенные доводы не свидетельствуют о существенных нарушениях норм материального и процессуального права, которые повлияли на исход дела, по существу, выражают несогласие с выводами судов по фактическим обстоятельствам настоящего спора,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Эрзанукаеву Умару Завадиевичу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