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10.11.2020, оставленным без изменения постановлением Двенадцатого арбитражного апелляционного суда от 15.03.2021, договоры купли-продажи от 19.04.2015 и от 08.09.2013, заключенные должником с гражданином Манделем М.П. признаны недействительными, Мандель М.П. обязан возвратить транспортные средства в конкурсную массу. Арбитражный суд Поволжского округа постановлением от 10.06.2021 определение от 10.11.2020 и постановление Двенадцатого арбитражного апелляционного суда от 15.03.2021 оставил без изменения. В кассационной жалобе Фролов А.В. просит об отмене судебных актов, ссылаясь на отсутствие условий для признания сделок недействительными в силу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Заключение должником договоров купли-продажи транспортных средств в отсутствие встречного исполнения и при сохранении за собой регистрации транспортных средств признано судами преследующим предотвращение возможного обращения взыскания на имущество и превышающим пределы осуществления гражданских прав, что составляет условия для недействительности сделок в силу статей 10, 168 Гражданского кодекса Российской Федерации, которыми руководствовались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Фролову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