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22.12.2020, оставленным без изменения постановлением Пятнадцатого арбитражного апелляционного суда от 18.03.2021, иск удовлетворен. Арбитражный суд Северо-Кавказского округа постановлением от 07.07.2021 решение от 22.12.2020 и постановление Пятнадцатого арбитражного апелляционного суда от 18.03.2021 оставил без изменения. В кассационной жалобе общество «Дорснаб» просит об отмене судебных актов, ссылаясь на игнорирование выводов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возникновения убытков и наличие условий, необходимых в силу статей 15, 1064 Гражданского кодекса Российской Федерации для взыскания их с ответчика, установлены по итогу оценки доказательств в совокупности. Требуемое изменение оценки доказательств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