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12.02.2021 (с учетом определения об исправлении опечатки от 12.02.2021), оставленным без изменения постановлением Пятого арбитражного апелляционного суда от 23.04.2021, исковые требования удовлетворены частично, с ответчика в пользу истца взыскано 7 311 рублей 06 копеек неустойки, 1 393 рубля судебных расходов. В удовлетворении остальной части требований отказано. Постановлением Арбитражного суда Дальневосточного округа от 09.07.2021 указанные судебные акты оставлены без изменения. 2 Общество обратилось в Верховный Суд Российской Федерации с кассационной жалобой, в которой выражает несогласие с выводами судов по обстоятельствам дела, изложенными в обжалуемых судебных актах.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доводы жалобы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Удовлетворяя частично исковые требования, оценив представленные доказательства, руководствуясь положениями статей 309, 310, 329, 330, 410, 702, 711, 720, 763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принимая во внимание обстоятельства, установленные в рамках дела № А59-3848/2019 Арбитражного суда Сахалинской области, учитывая правовой подход, изложенный в определении Судебной коллегии по экономическим спорам Верховного Суда Российской Федерации от 16.08.2018 № 305-ЭС18- 3914, пункт 3 Информационного письма Президиума Высшего Арбитражного Суда Российской Федерации от 29.12.2001 № 65 «Обзор практики разрешения споров, связанных с прекращением обязательств зачетом встречных однородных требований», пункт 15 постановления Пленума Верховного Суда РФ от 11.06.2020 № 6 «О некоторых вопросах применения положений Гражданского кодекса Российской Федерации о прекращении обязательств», суды исходили из ненадлежащего исполнения учреждением обязательства по оплате выполненных обществом работ при соблюдении заказчиком порядка и сроков приемки выполненных работ. Доводы кассационной жалобы по сути сводятся к несогласию с выводами судов по иному делу, были предметом исследования судебных инстанций и получили надлежащую правовую оценку,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3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