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Ставропольского края от 28.09.2020, оставленным без изменения постановлением Шестнадцатого арбитражного апелляционного суда от 01.02.2021, в иске отказано. Постановлением Арбитражного суда Северо-Кавказского округа от 17.06.2021 указанные судебные акты оставлены без изменения. Общество обратилось в Верховный Суд Российской Федерации с кассационной жалобой на состоявшиеся по делу судебные акты, ссылаясь на несоответствие выводов судов обстоятельствам дела, а также существенные 2 нарушения норм процессуального права.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Оценив представленные доказательства, руководствуясь положениями статей 702, 711, 743, 763, 768 Гражданского кодекса Российской Федерации, статьями 34, 95 Федерального закона от 05.04.2013 № 44-ФЗ «О контрактной системе в сфере закупок товаров, работ, услуг для обеспечения государственных и муниципальных нужд», принимая во внимание «Обзор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утвержденный Президиумом Верховного Суда Российской Федерации 28.06.2017, суды в иске отказали, указав на выполнение обществом спорных дополнительных работ без согласования с заказчиком. Доводы кассационной жалобы были предметом исследования судов и получили надлежащую правовую оценку применительно к конкретным установленным обстоятельствам, не согласиться с которыми оснований не имеется. Указанные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3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