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30.11.2020, оставленным без изменения постановлениями Девятого арбитражного апелляционного суда от 19.02.2021 и Арбитражного суда Московского округа от 10.06.2021,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В обоснование иска общество указывает на то, что антимонопольный орган является лицом, ответственным за причинение убытков (расходы на получение банковской гарантии), так как в связи с принятием им незаконного предписания общество, как победитель электронного аукциона, было изначально лишено возможности заключить контракт по результатам закупки. Оценив представленные в дело доказательства в соответствии со статьей 71 Арбитражного процессуального кодекса Российской Федерации, руководствуясь положениями статьи 15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позиции, изложенной в постановлениях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от 24.03.2016 № 7 «О применении судами некоторых положений Гражданского кодекса Российской Федерации об ответственности за нарушение обязательств», суды пришли к выводу об отсутствии необходимой совокупности условий для привлечения управления к гражданско-правовой ответственности в виде взыскания убытков. Судебные инстанции исходили из отсутствия причинно-следственной связи между действиями (бездействиями) антимонопольного органа и возникшими у общества убытками.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и не могут служить основанием для отмены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«Медгар Финанс»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