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Оценив доводы, изложенные в ходатайстве, суд приходит к выводу о наличии оснований для его удовлетворения.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«Национальная инжиниринговая компания» удовлетворить. Предоставить акционерному обществу «Национальная инжиниринговая компания»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 Суд: Верховный Суд РФ (подробнее) Истцы: АО "Национальная инжиниринговая компания" (подробнее) КОМПАНИЯ КРОМПТОН СОЛЮШНЗ ЛИМИТЕД (подробнее) Компания ПЛЕЙН СОЛЮШНЗ ЛИМИТЕД (подробнее) к/у АО "ГК НАТЭК" Горшков А.А. (подробнее) Ответчики: ПАО "Транскапиталбанк"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