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11.12.2020, оставленным без изменения постановлением Пятнадцатого арбитражного апелляционного суда от 18.02.2021, предприниматель привлечен к административной ответственности, предусмотренной частью 2 статьи 14.10 Кодекса Российской Федерации об административных правонарушениях и ему 2 назначено административное наказание в виде административного штрафа в размере 50 000 рублей, с конфискацией предмета правонарушения. Постановлением Суда по интеллектуальным правам от 11.06.2021 указанные судебные акты оставлены без изменения. Предприниматель просит обжалуемые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административным органом выявлен факт реализации предпринимателем товара, содержащего незаконное воспроизведение чужого товарного знака. Административный орган составил протокол об административном правонарушении, ответственность за которое предусмотрена частью 2 статьи 14.10 Кодекса Российской Федерации об административных правонарушениях, на основании которого обратился в арбитражный суд с заявлением о привлечении предпринимателя к административной ответственности. Часть 2 статьи 14.10 Кодекса Российской Федерации об административных правонарушениях предусматривает административную 3 ответственность за производство в целях сбыта либо реализацию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Оценив представленные доказательства, руководствуясь положениями статей 1477, 1482, 1484, 1515 Гражданского кодекса Российской Федерации, разъяснениями, изложенными в пункте 8 постановления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суды пришли к выводу о наличии в действиях предпринимателя состава вмененного административного правонарушения. Судами также установлено, что процедура и срок давности привлечения к административной ответственности соблюдены, оснований для применения судами положений статьи 2.9 и статьи 4.1.1 указанного Кодекса не имеется. Тот факт, что предприниматель относится к субъектам малого предпринимательства, рассматриваемое административное правонарушение совершено впервые, сами по себе не свидетельствуют о наличии оснований для применения статьи 4.1.1 Кодекса Российской Федерации об административных правонарушениях при установленных обстоятельствах, свидетельствующих о возникновении угрозы причинения вреда жизни и здоровью людей. В отсутствие доказательств того, что предпринимателем была получена от контрагентов необходимая, полная и достоверная информация о товаре, которая подтверждает соответствие продукции предъявляемым к ней требованиям, оснований не согласиться с выводами судов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