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29.10.2020, оставленным без изменения постановлением Седьмого арбитражного апелляционного суда от 15.01.2021, в удовлетворении заявленного требования отказано. 2 Постановлением Арбитражного суда Западно-Сибирского округа от 16.06.2021 указанные судебные акты оставлены без изменения. Руденко В.Г. обратился в Верховный Суд Российской Федерации с кассационной жалобой, в которой ссылается на нарушение судами норм материального и процессуального права, неполное выяснение судами обстоятельств по делу и несоответствие выводов судов представленным в дело доказательствам.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Кодекса Российской Федерации об административных правонарушениях, Федерального закона от 26.10.2002 № 127-ФЗ «О несостоятельности (банкротстве)», суды пришли к выводу об отсутствии достаточных данных, указывающих на наличие в действиях (бездействии) арбитражного управляющего Бекка А.А. состава административного правонарушения, в том числе вины в его совершении, в связи с чем признали оспариваемое постановление о прекращении производства по делу об административном правонарушении законным и обоснованным. Доводы кассационной жалобы были предметом исследования судов, получили надлежащую правовую оценку, по сути направлены на несогласие с выводами судебных инстанций и переоценку доказательств.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