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07.12.2020, оставленным без изменения постановлениями Второго арбитражного апелляционного суда от 25.02.2021 и Арбитражного суда Волго-Вятского округа от 17.06.2021, в удовлетворении заявленного требования отказано. В кассационной жалобе ассоциация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ассоциация обратилась в антимонопольный орган с жалобой на действия администрации (заказчик) при проведении открытого конкурса в электронной форме на право заключения контракта на выполнение проектно-сметной документации, указав, что заказчиком должно быть установлено требование к участникам закупки о наличии членства в саморегулируемой организации (далее – СРО) и в областях инженерных изысканий и архитектурно-строительного проектирования, а также установлен необоснованно короткий срок исполнения обязательств. По результатам рассмотрения жалобы ассоциации управлением принято решение о признании жалобы необоснованной. Не соглашаясь с указанным ненормативным правовым актом управления, ассоциация обратилась в арбитражный суд. Исследовав и оценив представленные в материалы дела доказательства, руководствуясь положениями статей 24, 31, 54.1-54.3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49, 706 Гражданского кодекса Российской Федерации, статей 47, 48, 55.8 Градостроительного кодекса Российской Федерации (далее – Градостроительный кодекс), суды пришли к выводу о том, что оспоренное решение антимонопольного органа соответствует действующему законодательству, не нарушает права и законные интересы заявителя. Судебные инстанции исходили из того, что юридическое лицо, не являющееся членом СРО в области инженерных изысканий, может привлечь к выполнению таких работ иных лиц, являющихся членами СРО в указанной области, если контрактом не ограничивается возможность привлечения субподрядчиков к выполнению таких работ; сроки, установленные контрактом, являются исполнимыми. При исследовании обстоятельств установлено, что положения конкурсной документации и проекта муниципального контракта дают возможность участвовать в открытом конкурсе тем субъектам, которые имеют членство в СРО в области архитектурно-строительного проектирования и вправе 3 привлекать для выполнения определенных видов работ, в том числе инженерных изысканий, других соответствующих требованиям статьи 47 Градостроительного кодекса лиц (субподрядчика) с обязательным уведомлением заказчика о привлечении таких лиц.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или допущенной судебной ошибке.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саморегулируемой организации «Региональное объединение проектировщиков»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