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09.11.2020, оставленным без изменения постановлением, заявленное требование удовлетворено. Постановлением Арбитражного суда Московского округа от 08.06.2021 указанные судебные акты оставлены без изменения. 2 Таможенный орган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товаров недостоверных сведений о товаре.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декларировании товаров недостоверных сведений о наименовании, описании, классификационном коде по единой Товарной номенклатуре внешнеэкономической деятельности Евразийского экономического союза, стране происхождения, об их таможенной стоимости либо других сведений, если такие сведения послужили основанием для освобождения от уплаты таможенных пошлин, налогов или для занижения их размера. Оценив представленные доказательства и установив, что общество не имело реальной возможности исполнить надлежащим образом возложенную на него обязанность по достоверному декларированию поступившего в адрес декларанта товара, сведения о товаре использовались из сопроводительной документации и информации поставщика товара, оснований сомневаться в характеристиках и стоимости товара не имелось, руководствуясь положениями статей 40, 106, 400, 405 Таможенного кодекса Евразийского экономического союза, суды пришли к выводу о недоказанности таможенным органом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а именно вины в совершении правонарушения. 3 При установленных судами обстоятельствах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