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28.01.2021, оставленным без изменения постановлением Четвертого арбитражного апелляционного суда от 13.04.2021, в удовлетворении требования отказано. Постановлением Арбитражного суда Восточно-Сибирского округа от 30.06.2021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23.12.2003 № 185-ФЗ «О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предпринимателей», Правил предоставления в 2020 году из федерального бюджета субсидий субъектам малого и среднего предпринимательства, ведущим деятельность в отраслях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утвержденные постановлением Правительства Российской Федерации от 24.04.2020 № 576, суды отказали в удовлетворении заявленного требования, признав, что обществом не соблюдены необходимые условия для получения субсидии. Доводы кассационной жалобы были предметом исследования судов и получили исчерпывающую правовую оценку с учетом недоказанности обществом осуществления необходимого вида деятельности в спорный период и распределения бремени доказывания при рассмотрении данной категории дел. Доводы жалобы выводы судов не опровергают,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"Пицца Домино" (подробнее) ООО "ПИЦЦА ДОМИНО" (подробнее) Ответчики: Межрайонная Инспекция Федеральной Налоговой Службы России №20 по Иркутской области (подробнее) Иные лица: АС Иркутской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