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14.08.2020, оставленным без изменения постановлением Девятнадцатого арбитражного апелляционного суда от 05.02.2021, в иске отказано. Постановлением Арбитражного суда Центрального округа от 28.06.2021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По смыслу положений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Исходя из доводов жалобы и принятых по делу судебных актов оснований для удовлетворения жалобы не установлено. Оценив представленные доказательства, принимая во внимание установленные судом общей юрисдикции обстоятельства при рассмотрении иска первоначального кредитора, руководствуясь положениями 195, 382, 384, 929, 943 Гражданского кодекса Российской Федерации, суды отказали в иске, признав срок исковой давности пропущенным. Доводы заявителя жалобы сводятся к несогласию с выводами судов общей юрисдикции, принятых в рамках рассмотрения иска первоначального кредитора о взыскании страхового возмещения, в связи с чем не могут служить основанием для отмены судебных актов. С учетом изложенного в данном конкретном случае приведенные заявителем доводы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"Конструкторское бюро "БЫТТЕХНИКА" (подробнее) Ответчики: ПАО Страховое "Ингосстрах"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