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посредством заполнения формы, размещенной на официальном сайте суда в информационно-телекоммуникационной сети «Интернет», 06.10.2021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2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А40-61505/2019 является постановление Арбитражного суда Московского округа от 05.08.2021, вступившее в законную силу, согласно части 5 статьи 289 АПК РФ, со дня его принятия – 05.08.2021, следовательно, двухмесячный срок на подачу кассационной жалобы истек 05.10.2021.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на опубликование постановления окружного суда 06.08.2021.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опубликования судебного акта (в данном случае своевременного опубликования),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 и Партнеры»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21.12.2020 по делу № А40-61505/2019, постановление Девятого арбитражного апелляционного суда от 13.04.2021 и постановление Арбитражного суда Московского округа от 05.08.2021 по тому же делу. Жалобу общества с ограниченной ответственностью «А и Партнеры»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