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23.09.2021 направило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общество ссылается на позднее получение копии обжалуемого постановления суда округа.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Однако, как следует из обжалуемых судебных актов, общество являлось инициатором спора и обращения с кассационной жалобой в суд округа, при этом представитель общества присутствовал в судебном заседании и знал о состоявшемся судебном акте.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в удовлетворении ходатайства открытого акционерного общества «Автогидроподъемник»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