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«Заря» (далее – общество) обратилось в суд с заявлением о включении в реестр требований кредиторов должника (далее – реестр) 50 749 897 рублей 20 копеек основного долга, из которых 4 280 200 рублей как обеспеченных залогом имущества должника. Определением Арбитражного суда города Санкт-Петербурга и Ленинградской области от 08.08.2020, оставленным без изменения постановлениями Тринадцатого арбитражного апелляционного суда от 15.03.2021 и Арбитражного суда Северо-Западного округа от 15.06.2021,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19, 71 и 100 Федерального закона от 26.10.2002 № 127-ФЗ «О несостоятельности (банкротстве)», пришли к выводу об обоснованности и подтверждённости требований общества и, как следствие, наличия оснований для включения в реестр, указав на отсутствие надлежащих доказательств обратного.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заявителя, в том числе доводы о заинтересованности, пропуске срока исковой давности и мнимости отношений были предметом рассмотрения судов, получили надлежащую оценку, отклонены как несостоятельные с подробным изложением мотивов отклонения и, по сути,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коммерческим банком «Банк на Красных воротах»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