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4 517 938 рублей 20 копеек. Определением Арбитражного суда города Санкт-Петербурга и Ленинградской области от 30.01.2020, оставленным без изменения постановлением Тринадцатого арбитражного апелляционного суда от 29.06.2020, заявление удовлетворено. Постановлением Арбитражного суда Северо-Западного округа от 02.10.2020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города Санкт-Петербурга и Ленинградской области от 03.12.2020, оставленным без изменения постановлением Тринадцатого арбитражного апелляционного суда от 17.02.2021, требование общества включено в реестр. Постановлением Арбитражного суда Северо-Западного округа от 15.06.2021 принятые на новом рассмотрении судебные акты отменены, в удовлетворении требования общества отказано. В кассационной жалобе, поданной в Верховный Суд Российской Федерации, заявитель просит отменить названное постановление суда округа 2 и принять по делу новый судебный акт об удовлетворении требования с отнесением его к третьей очереди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округа, руководствуясь положениями статей 48 и 52 Градостроительного кодекса Российской Федерации,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обоснованно пришёл к выводу об отсутствии причин для удовлетворения требований общества по заявленным основаниям.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КИФ»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