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Васин В.И. обратился в суд с заявлением о включении в реестр требований кредиторов должника (далее – реестр) 39 677 836 рублей основного долга и 10 003 120 рублей 45 копеек процентов. Определением Арбитражного суда города Москвы от 11.01.2021 отказано в удовлетворении заявления. Постановлением Девятого арбитражного апелляционного суда от 01.04.2021 данное определение изменено, требование Васина В.И. признано обоснованным и подлежащим удовлетворению в очерёдности, предшествующей распределению ликвидационной квоты. Постановлением Арбитражного суда Московского округа от 17.06.2021 отменено постановление апелляционного суда от 01.04.2021, определение суда первой инстанции от 11.01.2021 оставлено в силе. В кассационной жалобе, поданной в Верховный Суд Российской Федерации, заявитель просит отменить постановление суда округа и принять по делу новый судебный акт об удовлетворении его требования в очерёдности, предшествующей распределению ликвидационной квоты.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статьями 63 и 67 Гражданского кодекса Российской Федерации, статьями 2, 63 и 148 Федерального закона от 26.10.2002 № 127-ФЗ «О несостоятельности (банкротстве)», согласился с содержащимися в определении выводами об отсутствии оснований для удовлетворения требования ввиду того, что обязательства, положенные в основу требований Васина В.И., носят внутренний (корпоративный) характер и не могут конкурировать с внешними обязательствами должника перед его независимыми кредиторами.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Васину Василию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