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Артамонов Вадим Васильевич обратился в суд с ходатайством о процессуальной замене кредитора – общества с ограниченной ответственностью «Частная охранная организация «Рэндл» на себя в размере 5 975 560 рублей. Определением Арбитражного суда города Санкт–Петербурга и Ленинградской области от 06.12.2020, оставленным без изменения постановлениями Тринадцатого арбитражного апелляционного суда от 02.03.2021 и Арбитражного суда Северо-Западного округа от 17.06.2021, ходатайство удовлетворено. В кассационной жалобе, поданной в Верховный Суд Российской Федерации, заявитель просит отменить названные судебные акты и направить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статьёй 48 Арбитражного процессуального кодекса Российской Федерации, статьями 24, 382 и 384 Гражданского кодекса Российской Федерации, исходили из отсутствия оснований для отказа в удовлетворении заявления о правопреемстве на момент его рассмотрения, указав, что кредитор уступил своё право требования к должнику по действующим и не оспоренным сделкам. Выводы судов соответствуют нормам права, оснований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Доводы заявителя были предметом рассмотрения судов апелляционной инстанции и округа,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«Торгово-коммерческая фирма «Союзинтеркнига» Костомарову Виктору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