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договора поставки от 02.10.2017 № 02/10-2017П, заключенного между должником и обществом с ограниченной ответственностью «Вымпелсетьстрой» (далее – общество), применении последствий недействительности сделки. Определением Арбитражного суда Брянской области от 15.12.2020, оставленным без изменения постановлениями Двадцатого арбитражного апелляционного суда от 29.04.2021 и Арбитражного суда Центрального округа от 30.07.2021,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пунктом 2 статьи 61.2 Федерального закона от 26.10.2002 № 127-ФЗ «О несостоятельности (банкротстве)», пунктами 5, 7, 9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недоказанности причин для удовлетворения требования конкурного управляющего должником по заявленным основаниям. Выводы судов соответствуют нормам права, оснований для переоценки этих выводов не имеется. Существенных нарушений норм материального и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«НИКА-ДОН» Хрычикову Валерию Эдуардовичу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