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Копылов Алексей Петрович обратился в суд с заявлением о включении в третью очередь реестра требований кредиторов должника (далее – реестр) 6 685 000 рублей основного долга, 46 795 рублей – пени. Определением Арбитражного суда Московской области от 07.07.2020 заявление удовлетворено полностью. Постановлением Десятого арбитражного апелляционного суда от 15.02.2021 данное определение изменено, в третью очередь реестра включено требование Копылова А.П. в размере 6 685 000 рублей основного долга. В остальной части в удовлетворении заявления отказано. Постановлением Арбитражного суда Московского округа от 15.06.2021 определение суда первой инстанции в неизменённой части и постановление апелляционного суда в обжалуемой заявителем части оставлены без изменения. В кассационной жалобе, поданной в Верховный Суд Российской Федерации, заявитель просит отменить названные судебные акты и направить спор на новое рассмотрение в суд первой инстанции. Исходя из доводов кассационной жалобы, заявитель не согласна с выводами судов касательно доказанности факта предоставления должнику займа.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71 и 100 Федерального закона от 26.10.2002 № 127-ФЗ «О несостоятельности (банкротстве)», пришли к выводу о частичной обоснованности и подтверждённости заявленных Копыловым А.П. требований.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Смирновой Стэлле Михайловне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