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«Хоум Кредит энд Финанс Банк»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«Центр частного права электроэнергетики» 650 000 000 рублей задолженности по кредитному договору от 24.02.2016 по состоянию на 05.07.2019, 27 507 271 рубля 66 копеек процентов по состоянию на 30.03.2018, 194 056 164 рублей 38 копеек процентов за период с 31.03.2018 по 05.07.2019, 4 528 688 рублей 52 копеек процентов за период с 01.01.2020 по 15.01.2020, а также 413 978 901 рубля 58 копеек пеней. К участию к деле в качестве третьих лиц, не заявляющих самостоятельных требований относительно предмета спора, привлечены Федеральная служба по финансовому мониторингу, ПАО «Вологодская сбытовая компания», временный управляющий ПАО «Вологодская сбытовая компания» Яковенко 2 Иван Андреевич, ПАО «Челябэнергосбыт», временный управляющий ПАО «Челябэнергосбыт» Елистратов Данила Сергеевич, ООО «БазисЭнерго Трейд», ООО «ЛВЛ Инвестмент Групп», ООО «РБК-Энергия», ОАО «МРСК Урала», ООО «Парнас-Инвест», ПАО «Фортум», ПАО «МРСК Северо-Запада». Решением Арбитражного суда города Москвы от 19.10.2020 иск удовлетворен. Постановлением Девятого арбитражного апелляционного суда от 04.02.2021 решение суда первой инстанции оставлено без изменения. Арбитражный суд Московского округа постановлением от 28.06.2021 указанные судебные акты оставил без изменения. ОАО «МРСК Урала»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получения заемщиком реального финансирования от банка в размере 1 000 000 000 рублей кредитных денежных средств, которые были зачислены на расчетный счет должника и использованы им в соответствии с целевым назначением кредита, отсутствие доказательств, свидетельствующих о возврате суммы кредита в полном объеме и уплате причитающихся процентов, руководствуясь положениями статей 309, 310, 809, 819 Гражданского кодекса Российской Федерации, суды пришли к выводу о наличии оснований для удовлетворения иска.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3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«Межрегиональная распределительная сетевая компания Урала»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