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«Автомобильный завод «УРАЛ» (далее - завод) обратилось в Арбитражный суд города Санкт-Петербурга и Ленинградской области с иском о взыскании с общества с ограниченной ответственностью «ВПК-полимеры» (далее - общество) 144 328 рублей 10 копеек задолженности по договору от 10.10.2017 № ДО01/0010/УРАЛ АЗ/17 об уступке права требования и 195 рублей 20 копеек процентов за пользование чужими денежными средствами. Судом принят встречный иск общества о взыскании с завода 15 086 225 рублей 66 копеек задолженности по договору поставки компонентов от 10.10.2017 № ДС14/0265/УРАЛ АЗ/17 и 1 980 162 рублей 16 копеек процентов за пользование чужими денежными средствами. Решением Арбитражного суда города Санкт-Петербурга и Ленинградской области от 20.11.2020 в удовлетворении первоначального иска отказано, встречный иск удовлетворен. 2 Постановлением Тринадцатого арбитражного апелляционного суда от 29.03.2021 принят отказ общества от встречного иска в части взыскания 16 104 рублей 17 копеек задолженности и 567 рублей 15 копеек процентов за пользование чужими денежными средствами, решение суда первой инстанции в указанной части отменено и производство по делу в этой части прекращено; в остальной части решение суда первой инстанции оставлено без изменения. Арбитражный суд Северо-Западного округа постановлением от 09.07.2021 постановление суда апелляционной инстанции оставил без изменения. Акционерное общество «Автомобильный завод «УРАЛ»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учитывая оценку договора цессии, данную судами в судебном акте от 23.05.2019 по делу № А56-4830/2017 в рамках дела о несостоятельности (банкротстве) должника, руководствуясь положениями статей 167, 309, 310, 395, 410, 506, 516 Гражданского кодекса Российской Федерации, суды пришли к выводу об отсутствии у общества обязанности по оплате уступленного по договору цессии права требования и наличии у завода задолженности по оплате поставленного товара. Доводы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3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«Автомобильный завод «УРАЛ»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