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21.12.2020, оставленным без изменения постановлениями Двадцать первого арбитражного апелляционного суда от 16.03.2021 и Арбитражного суда Центрального округа от 21.06.2021, в удовлетворении заявленного требования отказано. 2 В кассационной жалобе комитет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необоснованное отклонение его заявки, поданной на участие в электронном аукционе на право заключения контракта на выполнение строительно-монтажных работ, антимонопольным органом принято решение. Решением управления жалоба общества признана обоснованной, в действиях комиссии заказчика установлено нарушение части 7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Не соглашаясь с указанным ненормативным правовым актом управления, общество обратилось в арбитражный суд. Исследовав и оценив представленные в материалы дела доказательства, руководствуясь положениями статей 31, 59, 66, 69 Закона о контрактной системе,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суды пришли к выводу о законности оспариваемого решения антимонопольного органа. Судебные инстанции исходили из отсутствия у аукционной комиссии достаточных оснований для вывода о недостоверности документов, представленных обществом в качестве подтверждения соответствия дополнительным требованиями. 3 Доводы комитета являлись предметом рассмотрения судов, получили надлежащую правовую оценку с учетом установленных обстоятельств дела и мотивированно отклонены,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конкурентной политики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