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30.09.2021 в электронном виде обратилось в Верховный Суд Российской Федерации с кассационной жалобой на принятые по делу судебные акты, заявив ходатайство о восстановлении срока на подачу кассационной жалобы. В обоснование ходатайства заявитель ссылается на возврат первоначально поданной в Верховный суд Российской Федерации кассационной жалобы в связи с несоблюдением условий, содержащихся в Порядке подачи документов в Верховный Суд Российской Федерации в электронном виде.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Последним судебным актом, принятым по делу, является постановление суда округа от 09.07.2019, срок на обжалование которого истек 09.09.2019. 2 Обратившись с кассационной жалобой 24.10.2019,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Управление было извещено о судебном разбирательстве в судах трех инстанций, обращалось с соответствующими жалобами, представители заявителя участвовали в судебных заседаниях. С полным текстом последнего обжалуемого судебного акта - постановления суда округа от 15.07.2021, управление могло ознакомиться 3 16.07.2021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Как указывает заявитель, кассационная жалоба, поданная им 09.09.2021 через систему подачи документов на сайте Верховного Суда Российской Федерации, отклонена в связи с нарушением порядка подачи жалоб в Верховный Суд Российской Федерации. Повторная жалоба направлена заявителем лишь 30.09.2021 через систему подачи документов в электронном виде «Мой арбитр». При этом обладая информацией о состоявшихся судебных актах, их содержании, и имея намерение их обжаловать, заявитель располагал возможностью своевременно обратиться с кассационной жалобой в установленный процессуальным законодательством срок. Следует учесть, что кассационная жалоба повторно направлена управлением в Верховный Суд Российской Федерации в электронном виде с использованием системы «Мой Арбитр», что свидетельствует о доступе заявителя жалобы к сети «Интернет», он является пользователем электронных ресурсов и способен оперативно получать и передавать информацию. Соблюдение требований к обращению в Верховный Суд Российской Федерации и своевременность такого обращения зависят от заявителя, нарушение порядка подачи кассационной жалобы и его последующее устранение не могут служить самостоятельным основанием к восстановлению пропущенного процессуального срока.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связи с чем кассационная жалоба подлежит возвращению заявителю на основании пункта 3 части 1 статьи 291.5 АПК РФ. 4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Омской области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Омской области от 23.12.2020, постановление Восьмого арбитражного апелляционного суда от 12.03.2021 и постановление Арбитражного суда Западно-Сибирского округа от 15.07.2021 по делу № А46-17881/2020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