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19.11.2020 исковые требования удовлетворены частично, с общества в пользу учреждения взыскан штраф в размере 1 000 рублей, расходы по оплате государственной пошлины в размере 319 рублей. В остальной части иска отказано. Встречный иск удовлетворен, с учреждения в пользу общества взысканы денежные средства в размере 307 776 рублей, расходы по оплате государственной пошлины в размере 9 156 рублей. Произведен зачет первоначальных и встречных исковых требований, в результате которого с учреждения в пользу общества взысканы денежные средства в размере 315 613 рублей. Распределены судебные расходы на производство экспертизы. Постановлением Восьмого арбитражного апелляционного суда от 11.02.2021 решение суда изменено, резолютивная часть изложена в иной редакции: первоначальный иск удовлетворен частично, с общества в пользу учреждения взыскан штраф в размере 1 000 рублей, расходы по оплате государственной пошлины в размере 319 рублей. В остальной части иска отказано. Встречный иск удовлетворен частично, с учреждения в пользу общества взысканы денежные средства в размере 212 352 рублей, расходы по оплате государственной пошлины в размере 5 068 рублей. Произведен зачет первоначальных и встречных исковых требований, в результате которого с учреждения в пользу общества взысканы денежные средства в размере 216 420 рублей. Распределены судебные расходы на производство экспертизы. Постановлением Арбитражного суда Западно-Сибирского округа от 17.06.2021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 на судебные акты судов апелляционной и кассационной инстанций, ссылаясь на допущенные, по его мнению, существенные нарушения норм материального права.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в совокупности и взаимной связи, руководствуясь положениями статей 328, 453, 702, 708, 721, 723, 753, 758, 763, 766 Гражданского кодекса Российской Федерации, суд апелляционной инстанции пришел к выводу о наличии у учреждения обязательств по оплате работ, выполненных обществом по объему и качеству в соответствии с условиями договора, на сумму 212 352 рублей, с учетом уменьшения стоимости выполненных работ на сумму расходов на устранение недостатков. При этом суд исходил из фактов выполнения обществом работ по разработке проектной документации, передачи проектной документации заказчику (учреждение), а также расторжения договора подрядчиком, принимая во внимание выводы экспертизы о наличии недостатков в выполненных подрядчиком работах, отсутствие мотивированных возражений относительно качества выполненных 3 работ и недостатков, которые не были бы учтены при проведении экспертизы, в отсутствие доказательств невозможности использования результата работ, учитывая принцип возмездности и эквивалентности встречных предоставлений. Доводы жалобы по сути направлены на несогласие с выводами судов апелляционной и кассационной инстанций и установление иных фактических обстоятельств по делу.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