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10.08.2021 обратился в Верховный Суд Российской Федерации с кассационной жалобой на принятые по делу № А32-8025/2020 судебные акты, одновременно заявив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приходит к выводу о наличии оснований для его удовлетворения, поскольку первоначально кассационная жалоба подана заявителем в установленный процессуальным законодательством срок, устранены недостатки, послужившие основанием для возвращения кассационной жалобы на основании пункта 1 части 1 статьи 291.5 АПК РФ . Руководствуясь статьями 117 , 184 , 185 , 291.2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Восстановить индивидуальному предпринимателю ФИО1 срок подачи кассационной жалобы на решение Арбитражного суда Краснодарского края от 07.12.2020 по делу № А32-8025/2020 и постановление Суда по интеллектуальным правам от 03.06.2021 по тому же делу. Судья Верховного Суда Российской Федерации Е.Е. Борисова Суд: Верховный Суд РФ (подробнее) Судьи дела: Борисова Е.Е.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