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«Глория плюс» удовлетворить. Срок подачи кассационной жалобы на решение Арбитражного суда города Москвы от 02.10.2020, постановление Девятого арбитражного апелляционного суда от 16.02.2021 и постановление Арбитражного суда Московского округа от 28.05.2021 по делу № А40-111766/2020 восстановить.Судья Верховного Суда Российской Федерации Н.С. Чучунова Суд: Верховный Суд РФ (подробнее) Истцы: ООО "КР КУЗНЕЦКИЙ МОСТ" (подробнее) Ответчики: ООО "Глория плюс"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