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08.02.2021, оставленным без изменения постановлениями Двадцатого арбитражного апелляционного суда от 19.04.2021 и Арбитражного суда Центрального округа от 28.07.2021,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результате реорганизаций общества с ограниченной ответственностью «Энергопром» (далее – ООО «Энергопром») все права и обязанности ООО «Энергопром» перешли к обществу. По результатам рассмотрения заявления общества о возврате налога (сбора) налоговым органом отказано в возврате налогов в связи с подачей заявления на возврат излишне уплаченных сумм налога в инспекцию по истечении трехлетнего срока, указанного в пункте 7 статьи 78 Налогового кодекса Российской Федерации (далее – Налоговый орган). Решением Управления Федеральной налоговой службы по Брянской области от 02.10.2020 жалоба налогоплательщика на действия (бездействие) должностных лиц инспекции оставлена без удовлетворения. Не согласившись с отказом налогового органа в возврате налогов, общество обратилось в арбитражный суд.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21, 78, 79 Налогового кодекса, правовой позицией, изложенной в пункте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постановлении Президиума Высшего Арбитражного Суда Российской Федерации от 25.02.2009 №12882/08, суды не усмотрели оснований для удовлетворения заявленных требований. Судебные инстанции, установив, что налогоплательщик как правопреемник реорганизуемого общества должен был знать о наличии переплаты по налогам в момент подписания передаточного акта, пришли к выводу о том, что общество обратилось в инспекцию с заявлением о возврате переплаты по истечении трехлетнего срока, установленного пунктом 7 статьи 78 Налогового кодекса. При этом суды отметили, что заявитель не был лишен возможности произвести с налоговым органом сверку расчетов по перешедшим к нему правам и обязанностям после реорганизации в пределах трехлетнего срока.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ошибке. 3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«Акварель»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